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6C5496AC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BCB9660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6C290783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52E5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04C3A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45994F02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2208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5CE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7A12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B3D9C1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E30BABB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8CBD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2631590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78085D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86E54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D508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411C8A2F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BB2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9286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EAB9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82A7D7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CA7802D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E173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EFEB47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C5EE8C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40147A6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9732E78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D2D3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55ED76C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11F235E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140B1D6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DA2C2A1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A5A5B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927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50BA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714C77F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9F927A8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115F0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830EB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26F96DE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E68DE0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673267A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981D57" w14:textId="42547D44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Tibor</w:t>
            </w:r>
          </w:p>
        </w:tc>
        <w:tc>
          <w:tcPr>
            <w:tcW w:w="309" w:type="dxa"/>
            <w:vAlign w:val="center"/>
          </w:tcPr>
          <w:p w14:paraId="78AA78B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A5D8F9B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DDDB29A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198AD3" w14:textId="55BBA492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doc</w:t>
            </w:r>
            <w:proofErr w:type="spellEnd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. </w:t>
            </w:r>
            <w:proofErr w:type="spellStart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="003C4381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</w:t>
            </w:r>
          </w:p>
        </w:tc>
        <w:tc>
          <w:tcPr>
            <w:tcW w:w="309" w:type="dxa"/>
            <w:vAlign w:val="center"/>
          </w:tcPr>
          <w:p w14:paraId="47EF82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23B447E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5B0774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98DF5" w14:textId="72F0DDE5" w:rsidR="00F50F35" w:rsidRDefault="004F4B8F">
            <w:pPr>
              <w:spacing w:after="0" w:line="240" w:lineRule="auto"/>
              <w:rPr>
                <w:rFonts w:ascii="Calibri" w:eastAsia="Times New Roman" w:hAnsi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3C4381" w:rsidRPr="00420B1F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https://www.portalvs.sk/regzam/detail/12325</w:t>
              </w:r>
            </w:hyperlink>
          </w:p>
          <w:p w14:paraId="523FD7B6" w14:textId="77777777" w:rsidR="003C4381" w:rsidRDefault="003C4381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</w:p>
          <w:p w14:paraId="3007DF47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90D672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19E26CC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BF833E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1AC9D3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6ABD777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1F69315" w14:textId="77777777" w:rsidTr="00186039">
        <w:trPr>
          <w:trHeight w:val="3073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43038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EC0ED7" w14:textId="77777777" w:rsidR="00B83BAB" w:rsidRPr="003C4381" w:rsidRDefault="00B83BAB" w:rsidP="00B83BAB">
            <w:pPr>
              <w:pStyle w:val="Textpoznmkypodiarou"/>
              <w:rPr>
                <w:rFonts w:cstheme="minorHAnsi"/>
                <w:bCs/>
                <w:sz w:val="16"/>
              </w:rPr>
            </w:pPr>
            <w:r w:rsidRPr="003C4381">
              <w:rPr>
                <w:sz w:val="16"/>
                <w:szCs w:val="16"/>
              </w:rPr>
              <w:t xml:space="preserve">vedecký výstup / </w:t>
            </w:r>
            <w:proofErr w:type="spellStart"/>
            <w:r w:rsidRPr="003C4381">
              <w:rPr>
                <w:sz w:val="16"/>
                <w:szCs w:val="16"/>
              </w:rPr>
              <w:t>scientific</w:t>
            </w:r>
            <w:proofErr w:type="spellEnd"/>
            <w:r w:rsidRPr="003C4381">
              <w:rPr>
                <w:sz w:val="16"/>
                <w:szCs w:val="16"/>
              </w:rPr>
              <w:t xml:space="preserve"> </w:t>
            </w:r>
            <w:r w:rsidRPr="003C4381">
              <w:rPr>
                <w:rFonts w:cstheme="minorHAnsi"/>
                <w:bCs/>
                <w:sz w:val="16"/>
              </w:rPr>
              <w:t>output</w:t>
            </w:r>
          </w:p>
          <w:p w14:paraId="2F02328C" w14:textId="77777777" w:rsidR="00F50F35" w:rsidRPr="003C4381" w:rsidRDefault="00F50F3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8B822A2" w14:textId="77777777" w:rsidR="00EE2B51" w:rsidRDefault="00EE2B51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</w:p>
          <w:p w14:paraId="01D9F2FE" w14:textId="35B5EB0F" w:rsidR="007C7502" w:rsidRDefault="007C7502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Andrea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3.583%]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Katarína [Autor,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3.571%]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Vasko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Peter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.571%] ; Rusnák, Tomáš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Kmiť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Igor [Autor, 3.5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Monika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.571%]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Stachoň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Marek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Bach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yncová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Dana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Karvaj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Mari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án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3.571%] ;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Bednáriková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Miroslava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3.5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Barkasi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Daniela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Hennel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Daniela [Autor, 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3.571%]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Marián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.571%] ; Halušková, Eva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571%]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Bryndzák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Pavel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3.57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Božena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3.571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Markéta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3.57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1%] ; Pavlovičová, Anna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3.5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71%] ; Vranková, Emília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571%] ; Radi, František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3.5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Monika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Buc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Veronika [Autor, 3.5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71%] ;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Helena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3.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571%] ; Roman, Ladislav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3.571%] ; </w:t>
            </w:r>
            <w:r w:rsidRPr="007C7502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FFFFFF"/>
              </w:rPr>
              <w:t>Roman, Tibor [Autor, 3.571%] ;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Jozef [Autor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Bárta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Richard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Morton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David [Autor, 3.571%]. – [angličtina]. – [OV 060, 180]. – [ŠO 7761, 5602]. – [článok]. – [recenzované]. – WOS CC</w:t>
            </w:r>
          </w:p>
          <w:p w14:paraId="517E8B58" w14:textId="419B233D" w:rsidR="007C7502" w:rsidRPr="003D596F" w:rsidRDefault="007C7502" w:rsidP="007C7502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Deadly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Synergy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between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Postcovid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&amp;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Posttrauma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Stress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Syndrome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Areas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Armed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Conflicts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in COVID-I9 </w:t>
            </w:r>
            <w:proofErr w:type="spellStart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Era</w:t>
            </w:r>
            <w:proofErr w:type="spellEnd"/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 xml:space="preserve"> (Note)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 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br/>
            </w:r>
            <w:r w:rsidRPr="007C7502">
              <w:rPr>
                <w:rFonts w:asciiTheme="minorHAnsi" w:hAnsiTheme="minorHAnsi" w:cstheme="minorHAnsi"/>
                <w:b/>
                <w:bCs/>
                <w:sz w:val="16"/>
                <w:szCs w:val="16"/>
                <w:shd w:val="clear" w:color="auto" w:fill="FFFFFF"/>
              </w:rPr>
              <w:t>In: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C7502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7C7502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7C7502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7C7502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7C7502">
              <w:rPr>
                <w:rFonts w:asciiTheme="minorHAnsi" w:hAnsiTheme="minorHAnsi" w:cstheme="minorHAnsi"/>
                <w:i/>
                <w:iCs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. – ISSN 2222-386X. – ISSN (online) 2076-9741. – Roč. 13, č. 6 (2022), s. 19-</w:t>
            </w:r>
            <w:r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22 [tlačená forma] [online] </w:t>
            </w:r>
          </w:p>
        </w:tc>
        <w:tc>
          <w:tcPr>
            <w:tcW w:w="309" w:type="dxa"/>
            <w:vAlign w:val="center"/>
          </w:tcPr>
          <w:p w14:paraId="7EB49CF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DE3F0D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75877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D9A271" w14:textId="6ACEAD58" w:rsidR="00F50F35" w:rsidRPr="003C4381" w:rsidRDefault="007C75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309" w:type="dxa"/>
            <w:vAlign w:val="center"/>
          </w:tcPr>
          <w:p w14:paraId="663978D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7397371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A25B939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FC84E" w14:textId="61BBD6BF" w:rsidR="00F50F35" w:rsidRPr="003C4381" w:rsidRDefault="007C75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529147</w:t>
            </w:r>
          </w:p>
        </w:tc>
        <w:tc>
          <w:tcPr>
            <w:tcW w:w="309" w:type="dxa"/>
            <w:vAlign w:val="center"/>
          </w:tcPr>
          <w:p w14:paraId="6DF410E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A1A219B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0E83E8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E70432" w14:textId="3A150AF7" w:rsidR="00F50F35" w:rsidRPr="003C4381" w:rsidRDefault="007C75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7C750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https://app.crepc.sk/?fn=detailBiblioFormChildA1BGNN&amp;sid=AADF8904DE55E08355F6055214&amp;seo=CREP%C4%8C-detail-%C4%8Cl%C3%A1nok</w:t>
            </w:r>
          </w:p>
        </w:tc>
        <w:tc>
          <w:tcPr>
            <w:tcW w:w="309" w:type="dxa"/>
            <w:vAlign w:val="center"/>
          </w:tcPr>
          <w:p w14:paraId="1698AC6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7937D38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788331C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1F1D8DEB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4BDA348E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D1F10AB" w14:textId="77777777" w:rsidR="00F50F35" w:rsidRPr="00EE2B5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 w:rsidRPr="00EE2B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CF24DE" w14:textId="2E33D881" w:rsidR="00A3282E" w:rsidRPr="00EE2B51" w:rsidRDefault="00A3282E" w:rsidP="00B53038">
            <w:pPr>
              <w:spacing w:after="0" w:line="240" w:lineRule="auto"/>
              <w:ind w:left="2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54C6540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5D1CBD2" w14:textId="77777777" w:rsidTr="00CF1C85">
        <w:trPr>
          <w:trHeight w:val="2279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7A8E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257A4C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D47A80" w14:textId="77777777" w:rsidR="007C7502" w:rsidRPr="007C7502" w:rsidRDefault="007C7502" w:rsidP="007C7502">
            <w:pPr>
              <w:pStyle w:val="Normlny1"/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</w:pP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Andrea [Autor, 3.583%]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Katarína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Vasko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Peter [Autor, 3.571%] ; Rusnák, Tomáš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Kmiť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Igor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Guľa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š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ov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Stachoň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Marek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Dana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Karvaj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Marián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Bednáriková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Miroslava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Barkasi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Daniela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Hennel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Daniela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Marián [Autor, 3.571%] ; Halušková, Eva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Bryndzák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Pavel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Božena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, Markéta [Autor, 3.571%] ; Pavlovičov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á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Anna [Autor, 3.571%] ; Vranková, Emília [Autor, 3.571%] ; Radi, František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Buc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Veronika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Koňo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š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ov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á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Helena [Autor, 3.571%] ; Roman, Ladislav [Autor, 3.571%] ; </w:t>
            </w:r>
            <w:r w:rsidRPr="007C7502">
              <w:rPr>
                <w:rFonts w:asciiTheme="minorHAnsi" w:hAnsiTheme="minorHAnsi" w:cstheme="minorHAnsi"/>
                <w:b/>
                <w:sz w:val="16"/>
                <w:szCs w:val="16"/>
                <w:shd w:val="clear" w:color="auto" w:fill="FFFFFF"/>
              </w:rPr>
              <w:t>Roman, Tibor [Autor, 3.571%] ;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Jozef [Autor, 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Bárta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Richard [Autor, 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lastRenderedPageBreak/>
              <w:t xml:space="preserve">3.571%] ; </w:t>
            </w:r>
            <w:proofErr w:type="spellStart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>Morton</w:t>
            </w:r>
            <w:proofErr w:type="spellEnd"/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, David [Autor, 3.571%]. – [angličtina]. 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–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[OV 060, 180]. 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–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Š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O 7761, 5602]. 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–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[čl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á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nok]. 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–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[recenzovan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é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]. </w:t>
            </w:r>
            <w:r w:rsidRPr="007C7502">
              <w:rPr>
                <w:rFonts w:asciiTheme="minorHAnsi" w:eastAsia="Malgun Gothic Semilight" w:hAnsiTheme="minorHAnsi" w:cstheme="minorHAnsi"/>
                <w:sz w:val="16"/>
                <w:szCs w:val="16"/>
                <w:shd w:val="clear" w:color="auto" w:fill="FFFFFF"/>
              </w:rPr>
              <w:t>–</w:t>
            </w:r>
            <w:r w:rsidRPr="007C7502">
              <w:rPr>
                <w:rFonts w:asciiTheme="minorHAnsi" w:hAnsiTheme="minorHAnsi" w:cstheme="minorHAnsi"/>
                <w:sz w:val="16"/>
                <w:szCs w:val="16"/>
                <w:shd w:val="clear" w:color="auto" w:fill="FFFFFF"/>
              </w:rPr>
              <w:t xml:space="preserve"> WOS CC</w:t>
            </w:r>
          </w:p>
          <w:p w14:paraId="7FDB258E" w14:textId="336C4D14" w:rsidR="00F50F35" w:rsidRPr="007C7502" w:rsidRDefault="007C7502" w:rsidP="007C750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Deadly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Synergy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between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Postcovid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&amp;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Posttrauma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Stress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Syndrome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Areas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Armed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Conflicts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in COVID-I9 </w:t>
            </w:r>
            <w:proofErr w:type="spellStart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Era</w:t>
            </w:r>
            <w:proofErr w:type="spellEnd"/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 xml:space="preserve"> (Note)</w:t>
            </w:r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 </w:t>
            </w:r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br/>
            </w:r>
            <w:r w:rsidRPr="007C7502">
              <w:rPr>
                <w:rFonts w:eastAsia="Liberation Serif" w:cstheme="minorHAnsi"/>
                <w:b/>
                <w:bCs/>
                <w:sz w:val="16"/>
                <w:szCs w:val="16"/>
                <w:shd w:val="clear" w:color="auto" w:fill="FFFFFF"/>
                <w:lang w:eastAsia="sk-SK"/>
              </w:rPr>
              <w:t>In:</w:t>
            </w:r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 </w:t>
            </w:r>
            <w:proofErr w:type="spellStart"/>
            <w:r w:rsidRPr="007C7502">
              <w:rPr>
                <w:rFonts w:eastAsia="Liberation Serif" w:cstheme="minorHAnsi"/>
                <w:i/>
                <w:iCs/>
                <w:sz w:val="16"/>
                <w:szCs w:val="16"/>
                <w:shd w:val="clear" w:color="auto" w:fill="FFFFFF"/>
                <w:lang w:eastAsia="sk-SK"/>
              </w:rPr>
              <w:t>Clinical</w:t>
            </w:r>
            <w:proofErr w:type="spellEnd"/>
            <w:r w:rsidRPr="007C7502">
              <w:rPr>
                <w:rFonts w:eastAsia="Liberation Serif" w:cstheme="minorHAnsi"/>
                <w:i/>
                <w:iCs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i/>
                <w:iCs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7C7502">
              <w:rPr>
                <w:rFonts w:eastAsia="Liberation Serif" w:cstheme="minorHAnsi"/>
                <w:i/>
                <w:iCs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i/>
                <w:iCs/>
                <w:sz w:val="16"/>
                <w:szCs w:val="16"/>
                <w:shd w:val="clear" w:color="auto" w:fill="FFFFFF"/>
                <w:lang w:eastAsia="sk-SK"/>
              </w:rPr>
              <w:t>Work</w:t>
            </w:r>
            <w:proofErr w:type="spellEnd"/>
            <w:r w:rsidRPr="007C7502">
              <w:rPr>
                <w:rFonts w:eastAsia="Liberation Serif" w:cstheme="minorHAnsi"/>
                <w:i/>
                <w:iCs/>
                <w:sz w:val="16"/>
                <w:szCs w:val="16"/>
                <w:shd w:val="clear" w:color="auto" w:fill="FFFFFF"/>
                <w:lang w:eastAsia="sk-SK"/>
              </w:rPr>
              <w:t xml:space="preserve"> and Health </w:t>
            </w:r>
            <w:proofErr w:type="spellStart"/>
            <w:r w:rsidRPr="007C7502">
              <w:rPr>
                <w:rFonts w:eastAsia="Liberation Serif" w:cstheme="minorHAnsi"/>
                <w:i/>
                <w:iCs/>
                <w:sz w:val="16"/>
                <w:szCs w:val="16"/>
                <w:shd w:val="clear" w:color="auto" w:fill="FFFFFF"/>
                <w:lang w:eastAsia="sk-SK"/>
              </w:rPr>
              <w:t>Intervention</w:t>
            </w:r>
            <w:proofErr w:type="spellEnd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 [textový dokument (</w:t>
            </w:r>
            <w:proofErr w:type="spellStart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print</w:t>
            </w:r>
            <w:proofErr w:type="spellEnd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 xml:space="preserve">)] [elektronický dokument] . – Viedeň (Rakúsko) : </w:t>
            </w:r>
            <w:proofErr w:type="spellStart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Gesellschaft</w:t>
            </w:r>
            <w:proofErr w:type="spellEnd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für</w:t>
            </w:r>
            <w:proofErr w:type="spellEnd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angewandte</w:t>
            </w:r>
            <w:proofErr w:type="spellEnd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Präventionsmedizin</w:t>
            </w:r>
            <w:proofErr w:type="spellEnd"/>
            <w:r w:rsidRPr="007C7502">
              <w:rPr>
                <w:rFonts w:eastAsia="Liberation Serif" w:cstheme="minorHAnsi"/>
                <w:sz w:val="16"/>
                <w:szCs w:val="16"/>
                <w:shd w:val="clear" w:color="auto" w:fill="FFFFFF"/>
                <w:lang w:eastAsia="sk-SK"/>
              </w:rPr>
              <w:t>. – ISSN 2222-386X. – ISSN (online) 2076-9741. – Roč. 13, č. 6 (2022), s. 19-22 [tlačená forma] [online]</w:t>
            </w:r>
          </w:p>
        </w:tc>
        <w:tc>
          <w:tcPr>
            <w:tcW w:w="309" w:type="dxa"/>
            <w:vAlign w:val="center"/>
          </w:tcPr>
          <w:p w14:paraId="153CBAA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12461BA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51CB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9AC7C9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4C59A0" w14:textId="77777777" w:rsidR="006F357A" w:rsidRDefault="006F357A" w:rsidP="006F357A">
            <w:pPr>
              <w:spacing w:after="0" w:line="240" w:lineRule="auto"/>
              <w:ind w:firstLineChars="300" w:firstLine="48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článok/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article</w:t>
            </w:r>
            <w:proofErr w:type="spellEnd"/>
          </w:p>
          <w:p w14:paraId="793579E9" w14:textId="77777777" w:rsidR="00F50F35" w:rsidRDefault="00F50F35" w:rsidP="00B83BAB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1392C88C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134E174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5DF4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12B3C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Hyperlink na stránku, na ktorej je výstup sprístupnený (úplný text, iná dokumentácia a podobne) / Hyperlink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87C5B6" w14:textId="0A689452" w:rsidR="00A3282E" w:rsidRPr="0025766E" w:rsidRDefault="0025766E" w:rsidP="00B83BAB">
            <w:pPr>
              <w:spacing w:after="0" w:line="240" w:lineRule="auto"/>
              <w:ind w:left="2"/>
              <w:rPr>
                <w:sz w:val="16"/>
                <w:szCs w:val="16"/>
                <w:lang w:eastAsia="sk-SK"/>
              </w:rPr>
            </w:pPr>
            <w:r w:rsidRPr="0025766E">
              <w:rPr>
                <w:sz w:val="16"/>
                <w:szCs w:val="16"/>
                <w:lang w:eastAsia="sk-SK"/>
              </w:rPr>
              <w:t>https://pesquisa.bvsalud.org/global-literature-on-novel-coronavirus-2019-ncov/resource/pt/covidwho-2205097</w:t>
            </w:r>
          </w:p>
        </w:tc>
        <w:tc>
          <w:tcPr>
            <w:tcW w:w="309" w:type="dxa"/>
            <w:vAlign w:val="center"/>
          </w:tcPr>
          <w:p w14:paraId="24B8D0F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657BAAB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9FD8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E40DEF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69448" w14:textId="68B76CA1" w:rsidR="00F50F35" w:rsidRPr="003C4381" w:rsidRDefault="007C7502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val="en-US"/>
              </w:rPr>
              <w:t>3,571</w:t>
            </w:r>
            <w:r w:rsidR="003D596F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B53038" w:rsidRPr="003C4381">
              <w:rPr>
                <w:rFonts w:ascii="Calibri" w:hAnsi="Calibri" w:cs="Calibri"/>
                <w:sz w:val="16"/>
                <w:szCs w:val="16"/>
                <w:lang w:val="en-US"/>
              </w:rPr>
              <w:t>%</w:t>
            </w:r>
          </w:p>
          <w:p w14:paraId="3C634CDF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4888E22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D84E029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1122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443434D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9C955" w14:textId="77777777" w:rsidR="0025766E" w:rsidRPr="0025766E" w:rsidRDefault="0025766E" w:rsidP="0025766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proofErr w:type="spellStart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>Postcovidový</w:t>
            </w:r>
            <w:proofErr w:type="spellEnd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syndróm postihuje 5 – 20 % všetkých pacientov so symptomatickou infekciou Covid-I9, čo vedie k dočasnej alebo trvalej invalidite počas nasledujúcich týždňov alebo mesiacov. Najčastejšími syndrómami po dlhom Covid-I9 (alebo syndróm chronickej únavy po Covide, alebo ako synonymum </w:t>
            </w:r>
            <w:proofErr w:type="spellStart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>postkovidný</w:t>
            </w:r>
            <w:proofErr w:type="spellEnd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syndróm) sú psychické alebo psychosomatické poruchy známe pod názvom syndróm depresie a úzkosti. Po nepokojoch a ozbrojených konfliktoch počas éry Covid sú klienti alebo pacienti, najmä vojnoví migranti, vystavení chronickému </w:t>
            </w:r>
            <w:proofErr w:type="spellStart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>posttraumatickému</w:t>
            </w:r>
            <w:proofErr w:type="spellEnd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syndrómu súvisiacemu s predchádzajúcim alebo nedávnym odstránením dočasného </w:t>
            </w:r>
            <w:proofErr w:type="spellStart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>bezdomovectva</w:t>
            </w:r>
            <w:proofErr w:type="spellEnd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 útekom z postihnutých oblastí/krajín. Kumulácia týchto 2 syndrómov môže mať zničujúce následky na individuálne zdravotné a ekonomické straty v dôsledku trvalého pracovného a ekonomického postihnutia a spotreby zdravotných a sociálnych fondov. Po nepokojoch a ozbrojených konfliktoch počas éry Covid sú klienti alebo pacienti, najmä vojnoví migranti, tiež vystavení chronickému </w:t>
            </w:r>
            <w:proofErr w:type="spellStart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>posttraumatickému</w:t>
            </w:r>
            <w:proofErr w:type="spellEnd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syndrómu súvisiacemu s predchádzajúcim alebo nedávnym zničením infraštruktúry, dočasným </w:t>
            </w:r>
            <w:proofErr w:type="spellStart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>bezdomovectvom</w:t>
            </w:r>
            <w:proofErr w:type="spellEnd"/>
            <w:r w:rsidRPr="0025766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 útekom z postihnutých oblastí/krajín.</w:t>
            </w:r>
          </w:p>
          <w:p w14:paraId="5379E3F2" w14:textId="73699E46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062AA83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C0F5B5A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D9860FB" w14:textId="77777777" w:rsidR="00F50F3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D6017" w14:textId="1808210F" w:rsidR="00F50F35" w:rsidRPr="0025766E" w:rsidRDefault="0025766E" w:rsidP="0025766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Postcovid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affects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5-20% of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all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patients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symptomatic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Covid-I9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infection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resulting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temporary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permanent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disability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next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weeks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months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commonest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after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long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Covid-I9, (or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chronic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fatigue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after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Covid, or as synonymum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postcovid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) are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psychic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psychosomatic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disorders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known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name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Depression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Anxiety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After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unrest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armed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conflicts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during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Covid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era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clients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patients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mainly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migrants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are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exposed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chronic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post trauma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related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previous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recent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struction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temporary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homelesness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escape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affected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regions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/country.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Cumulation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those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2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have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devastating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consequences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both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individual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economic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losses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due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permanent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working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economy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disabilities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consumption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funds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After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unrest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armed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conflicts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during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Covid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era,clients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patients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mainly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migrants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war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are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exposed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chronic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post trauma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syndrome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related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previous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recent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destruction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infrastructure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temporary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homelesness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escape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affected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regions</w:t>
            </w:r>
            <w:proofErr w:type="spellEnd"/>
            <w:r w:rsidRPr="0025766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/country.</w:t>
            </w:r>
          </w:p>
        </w:tc>
        <w:tc>
          <w:tcPr>
            <w:tcW w:w="309" w:type="dxa"/>
            <w:vAlign w:val="center"/>
          </w:tcPr>
          <w:p w14:paraId="16EC233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287544F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430874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CB8448" w14:textId="1B504B73" w:rsidR="00A3282E" w:rsidRPr="003C4381" w:rsidRDefault="00A3282E" w:rsidP="00CC5F5D">
            <w:pPr>
              <w:spacing w:after="0"/>
              <w:rPr>
                <w:rFonts w:eastAsia="SimSun" w:cstheme="minorHAnsi"/>
                <w:color w:val="FF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5A9EA0B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676413B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BA226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C6C31A" w14:textId="08F1E608" w:rsidR="00F50F35" w:rsidRPr="003C4381" w:rsidRDefault="0025766E" w:rsidP="006F357A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25766E">
              <w:rPr>
                <w:rFonts w:ascii="Calibri" w:hAnsi="Calibri" w:cs="Calibri"/>
                <w:sz w:val="16"/>
                <w:szCs w:val="16"/>
              </w:rPr>
              <w:t>Poznatky o priebehu pandémie a skúsenostiach akéhokoľvek druhu, ktoré by mohli znížiť následky, alebo ukázať nové účinné formy prevencie s celospoločenským významom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. / </w:t>
            </w:r>
            <w:r w:rsidRPr="0025766E">
              <w:rPr>
                <w:rStyle w:val="rynqvb"/>
                <w:rFonts w:asciiTheme="minorHAnsi" w:hAnsiTheme="minorHAnsi" w:cstheme="minorHAnsi"/>
                <w:sz w:val="16"/>
                <w:szCs w:val="16"/>
                <w:lang w:val="en"/>
              </w:rPr>
              <w:t>Knowledge about the course of the pandemic and experiences of any kind that could reduce the consequences or show new effective forms of prevention with societal significance.</w:t>
            </w:r>
          </w:p>
        </w:tc>
        <w:tc>
          <w:tcPr>
            <w:tcW w:w="309" w:type="dxa"/>
            <w:vAlign w:val="center"/>
          </w:tcPr>
          <w:p w14:paraId="533795A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59B9B56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1B1221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A2BC32" w14:textId="77777777" w:rsidR="0025766E" w:rsidRPr="0025766E" w:rsidRDefault="0025766E" w:rsidP="006F3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25766E">
              <w:rPr>
                <w:rFonts w:ascii="Calibri" w:hAnsi="Calibri" w:cs="Calibri"/>
                <w:sz w:val="16"/>
                <w:szCs w:val="16"/>
              </w:rPr>
              <w:t xml:space="preserve">Poznatky pre študentov a odborníkov na riešenie pandemickej situácie a sanácie následkov pandémie. / </w:t>
            </w:r>
            <w:r w:rsidRPr="0025766E">
              <w:rPr>
                <w:rFonts w:eastAsia="Times New Roman" w:cstheme="minorHAnsi"/>
                <w:sz w:val="16"/>
                <w:szCs w:val="16"/>
                <w:lang w:val="en" w:eastAsia="sk-SK"/>
              </w:rPr>
              <w:t>Knowledge for students and experts on dealing with the pandemic situation and remediation of the consequences of the pandemic.</w:t>
            </w:r>
          </w:p>
          <w:p w14:paraId="1374B168" w14:textId="541AB0D1" w:rsidR="00F50F35" w:rsidRPr="003C4381" w:rsidRDefault="00F50F35" w:rsidP="006F357A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FF0000"/>
                <w:sz w:val="16"/>
                <w:szCs w:val="16"/>
              </w:rPr>
            </w:pPr>
          </w:p>
        </w:tc>
        <w:tc>
          <w:tcPr>
            <w:tcW w:w="309" w:type="dxa"/>
            <w:vAlign w:val="center"/>
          </w:tcPr>
          <w:p w14:paraId="7EC6A45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DA3044A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3A0C3" w14:textId="77777777" w:rsidR="00DA5D25" w:rsidRDefault="00DA5D25">
      <w:pPr>
        <w:spacing w:line="240" w:lineRule="auto"/>
      </w:pPr>
      <w:r>
        <w:separator/>
      </w:r>
    </w:p>
  </w:endnote>
  <w:endnote w:type="continuationSeparator" w:id="0">
    <w:p w14:paraId="317E7EE7" w14:textId="77777777" w:rsidR="00DA5D25" w:rsidRDefault="00DA5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86"/>
    <w:family w:val="auto"/>
    <w:pitch w:val="default"/>
    <w:sig w:usb0="00000000" w:usb1="500078FF" w:usb2="00000021" w:usb3="00000000" w:csb0="600001BF" w:csb1="DFF7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F5F3B" w14:textId="77777777" w:rsidR="00DA5D25" w:rsidRDefault="00DA5D25">
      <w:pPr>
        <w:spacing w:after="0"/>
      </w:pPr>
      <w:r>
        <w:separator/>
      </w:r>
    </w:p>
  </w:footnote>
  <w:footnote w:type="continuationSeparator" w:id="0">
    <w:p w14:paraId="0E70533C" w14:textId="77777777" w:rsidR="00DA5D25" w:rsidRDefault="00DA5D2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892768">
    <w:abstractNumId w:val="0"/>
  </w:num>
  <w:num w:numId="2" w16cid:durableId="1139422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C466B"/>
    <w:rsid w:val="000C7A53"/>
    <w:rsid w:val="00186039"/>
    <w:rsid w:val="00190A9C"/>
    <w:rsid w:val="00211BB7"/>
    <w:rsid w:val="0025766E"/>
    <w:rsid w:val="002B0F5D"/>
    <w:rsid w:val="002F76FC"/>
    <w:rsid w:val="003C4381"/>
    <w:rsid w:val="003D596F"/>
    <w:rsid w:val="004C0ADE"/>
    <w:rsid w:val="004F4B8F"/>
    <w:rsid w:val="006F357A"/>
    <w:rsid w:val="0073261A"/>
    <w:rsid w:val="007C7502"/>
    <w:rsid w:val="00866105"/>
    <w:rsid w:val="00996E77"/>
    <w:rsid w:val="00A3282E"/>
    <w:rsid w:val="00A736DA"/>
    <w:rsid w:val="00B53038"/>
    <w:rsid w:val="00B83BAB"/>
    <w:rsid w:val="00B90038"/>
    <w:rsid w:val="00CC5F5D"/>
    <w:rsid w:val="00CF1C85"/>
    <w:rsid w:val="00D74235"/>
    <w:rsid w:val="00D940B2"/>
    <w:rsid w:val="00DA5D25"/>
    <w:rsid w:val="00DB79B8"/>
    <w:rsid w:val="00EE2B51"/>
    <w:rsid w:val="00F50F35"/>
    <w:rsid w:val="00FE4CD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0BCEB"/>
  <w15:docId w15:val="{5AA88896-5EC4-402C-B840-578A8733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  <w:style w:type="character" w:customStyle="1" w:styleId="hwtze">
    <w:name w:val="hwtze"/>
    <w:basedOn w:val="Predvolenpsmoodseku"/>
    <w:rsid w:val="0025766E"/>
  </w:style>
  <w:style w:type="character" w:customStyle="1" w:styleId="rynqvb">
    <w:name w:val="rynqvb"/>
    <w:basedOn w:val="Predvolenpsmoodseku"/>
    <w:rsid w:val="00257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3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3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2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tibor roman</cp:lastModifiedBy>
  <cp:revision>3</cp:revision>
  <dcterms:created xsi:type="dcterms:W3CDTF">2024-01-30T23:33:00Z</dcterms:created>
  <dcterms:modified xsi:type="dcterms:W3CDTF">2024-01-30T23:48:00Z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